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A9ED" w14:textId="77777777" w:rsidR="003932F8" w:rsidRPr="00A52CD0" w:rsidRDefault="00265081" w:rsidP="00933F91">
      <w:pPr>
        <w:pStyle w:val="Title"/>
        <w:pBdr>
          <w:bottom w:val="none" w:sz="0" w:space="0" w:color="auto"/>
        </w:pBdr>
        <w:spacing w:after="0"/>
        <w:ind w:left="1440" w:right="-97"/>
        <w:jc w:val="center"/>
        <w:rPr>
          <w:rFonts w:ascii="Arial Narrow" w:hAnsi="Arial Narrow"/>
          <w:caps/>
          <w:sz w:val="40"/>
          <w:szCs w:val="40"/>
        </w:rPr>
      </w:pPr>
      <w:r>
        <w:rPr>
          <w:rFonts w:ascii="Arial Narrow" w:hAnsi="Arial Narrow"/>
          <w:caps/>
          <w:sz w:val="40"/>
          <w:szCs w:val="40"/>
        </w:rPr>
        <w:t>changes to minnesota gun laws</w:t>
      </w:r>
    </w:p>
    <w:p w14:paraId="3153912F" w14:textId="77777777" w:rsidR="003932F8" w:rsidRPr="003932F8" w:rsidRDefault="00265081" w:rsidP="00933F91">
      <w:pPr>
        <w:pStyle w:val="ListParagraph"/>
        <w:spacing w:after="180" w:line="240" w:lineRule="auto"/>
        <w:ind w:left="994" w:right="-97"/>
        <w:contextualSpacing w:val="0"/>
        <w:rPr>
          <w:rFonts w:eastAsiaTheme="majorEastAsia" w:cstheme="majorBidi"/>
          <w:color w:val="002060"/>
          <w:sz w:val="32"/>
          <w:szCs w:val="52"/>
        </w:rPr>
      </w:pPr>
      <w:r>
        <w:t>The</w:t>
      </w:r>
      <w:r w:rsidRPr="00265081">
        <w:t xml:space="preserve"> Minnesota Legislature made several changes to Minnesota’s gun laws during the 2023 session. This document provides an overview of those changes and actions required by the Bureau of Criminal Apprehension (BCA). In addition, it provides an update on litigation surrounding permit to carry minimum age requirements.</w:t>
      </w:r>
    </w:p>
    <w:p w14:paraId="6DF598BB" w14:textId="77777777" w:rsidR="00265081" w:rsidRDefault="00265081" w:rsidP="00933F91">
      <w:pPr>
        <w:spacing w:line="240" w:lineRule="auto"/>
        <w:ind w:left="990" w:right="-97"/>
        <w:rPr>
          <w:rFonts w:ascii="Arial Narrow" w:hAnsi="Arial Narrow" w:cs="Arial"/>
          <w:b/>
          <w:color w:val="002060"/>
          <w:sz w:val="36"/>
          <w:szCs w:val="36"/>
        </w:rPr>
      </w:pPr>
      <w:r>
        <w:rPr>
          <w:rFonts w:ascii="Arial Narrow" w:hAnsi="Arial Narrow" w:cs="Arial"/>
          <w:b/>
          <w:color w:val="002060"/>
          <w:sz w:val="36"/>
          <w:szCs w:val="36"/>
        </w:rPr>
        <w:t>The Adult-Use Cannabis Act</w:t>
      </w:r>
      <w:r w:rsidR="003932F8" w:rsidRPr="00A52CD0">
        <w:rPr>
          <w:rFonts w:ascii="Arial Narrow" w:hAnsi="Arial Narrow" w:cs="Arial"/>
          <w:b/>
          <w:color w:val="002060"/>
          <w:sz w:val="36"/>
          <w:szCs w:val="36"/>
        </w:rPr>
        <w:t xml:space="preserve"> </w:t>
      </w:r>
    </w:p>
    <w:p w14:paraId="01F13AEB" w14:textId="77777777" w:rsidR="00933F91" w:rsidRPr="00933F91" w:rsidRDefault="00933F91" w:rsidP="00933F91">
      <w:pPr>
        <w:spacing w:after="180" w:line="240" w:lineRule="auto"/>
        <w:ind w:left="994" w:right="-97"/>
        <w:rPr>
          <w:rFonts w:ascii="Arial" w:hAnsi="Arial" w:cs="Arial"/>
        </w:rPr>
      </w:pPr>
      <w:r w:rsidRPr="00933F91">
        <w:rPr>
          <w:rFonts w:ascii="Arial" w:hAnsi="Arial" w:cs="Arial"/>
        </w:rPr>
        <w:t>A variety of laws were passed as part of the Adult-Use Cannabis bill regarding firearm possession, ownership, or carry by lawful cannabis users. Under Minnesota law, a person may not be denied the right to own, possess or carry firearms based on their status as a patient in the medical cannabis registry program or on the basis that the person is 21 years of age or older and uses adult-use cannabis products. The use or possession of marijuana remains unlawful under federal law regardless of whether it has been legalized or decriminalized for medicinal or recreational purposes in Minnesota. The BCA recognizes this conflict in the law. Law enforcement agencies should consult with their city or county attorney.</w:t>
      </w:r>
    </w:p>
    <w:p w14:paraId="1E6DFBF3" w14:textId="77777777" w:rsidR="00933F91" w:rsidRPr="00933F91" w:rsidRDefault="00933F91" w:rsidP="00933F91">
      <w:pPr>
        <w:spacing w:after="180" w:line="240" w:lineRule="auto"/>
        <w:ind w:left="994" w:right="-97"/>
        <w:rPr>
          <w:rFonts w:ascii="Arial" w:hAnsi="Arial" w:cs="Arial"/>
        </w:rPr>
      </w:pPr>
      <w:r w:rsidRPr="00933F91">
        <w:rPr>
          <w:rFonts w:ascii="Arial" w:hAnsi="Arial" w:cs="Arial"/>
        </w:rPr>
        <w:t xml:space="preserve">The BCA updated permit to carry and permit to purchase/transfer forms to reflect the change in Minnesota law. The forms are available </w:t>
      </w:r>
      <w:hyperlink r:id="rId8" w:history="1">
        <w:r w:rsidRPr="00933F91">
          <w:rPr>
            <w:rStyle w:val="Hyperlink"/>
            <w:rFonts w:ascii="Arial" w:hAnsi="Arial" w:cs="Arial"/>
          </w:rPr>
          <w:t>on the BCA website</w:t>
        </w:r>
      </w:hyperlink>
      <w:r w:rsidRPr="00933F91">
        <w:rPr>
          <w:rFonts w:ascii="Arial" w:hAnsi="Arial" w:cs="Arial"/>
        </w:rPr>
        <w:t>.</w:t>
      </w:r>
    </w:p>
    <w:p w14:paraId="7C67640E" w14:textId="77777777" w:rsidR="00265081" w:rsidRPr="00265081" w:rsidRDefault="00265081" w:rsidP="00933F91">
      <w:pPr>
        <w:spacing w:line="240" w:lineRule="auto"/>
        <w:ind w:left="990" w:right="-97"/>
        <w:rPr>
          <w:rFonts w:ascii="Arial Narrow" w:hAnsi="Arial Narrow" w:cs="Arial"/>
          <w:b/>
          <w:color w:val="002060"/>
          <w:sz w:val="36"/>
          <w:szCs w:val="36"/>
        </w:rPr>
      </w:pPr>
      <w:r w:rsidRPr="00265081">
        <w:rPr>
          <w:rFonts w:ascii="Arial Narrow" w:hAnsi="Arial Narrow" w:cs="Arial"/>
          <w:b/>
          <w:color w:val="002060"/>
          <w:sz w:val="36"/>
          <w:szCs w:val="36"/>
        </w:rPr>
        <w:t xml:space="preserve">Changes to </w:t>
      </w:r>
      <w:r w:rsidR="00B94780">
        <w:rPr>
          <w:rFonts w:ascii="Arial Narrow" w:hAnsi="Arial Narrow" w:cs="Arial"/>
          <w:b/>
          <w:color w:val="002060"/>
          <w:sz w:val="36"/>
          <w:szCs w:val="36"/>
        </w:rPr>
        <w:t>transferee permit and report of t</w:t>
      </w:r>
      <w:r w:rsidRPr="00265081">
        <w:rPr>
          <w:rFonts w:ascii="Arial Narrow" w:hAnsi="Arial Narrow" w:cs="Arial"/>
          <w:b/>
          <w:color w:val="002060"/>
          <w:sz w:val="36"/>
          <w:szCs w:val="36"/>
        </w:rPr>
        <w:t xml:space="preserve">ransfer </w:t>
      </w:r>
      <w:r w:rsidR="00B94780">
        <w:rPr>
          <w:rFonts w:ascii="Arial Narrow" w:hAnsi="Arial Narrow" w:cs="Arial"/>
          <w:b/>
          <w:color w:val="002060"/>
          <w:sz w:val="36"/>
          <w:szCs w:val="36"/>
        </w:rPr>
        <w:t>l</w:t>
      </w:r>
      <w:r w:rsidRPr="00265081">
        <w:rPr>
          <w:rFonts w:ascii="Arial Narrow" w:hAnsi="Arial Narrow" w:cs="Arial"/>
          <w:b/>
          <w:color w:val="002060"/>
          <w:sz w:val="36"/>
          <w:szCs w:val="36"/>
        </w:rPr>
        <w:t>aws</w:t>
      </w:r>
    </w:p>
    <w:p w14:paraId="25766892" w14:textId="77777777" w:rsidR="00265081" w:rsidRPr="00265081" w:rsidRDefault="00265081" w:rsidP="00933F91">
      <w:pPr>
        <w:spacing w:after="180" w:line="240" w:lineRule="auto"/>
        <w:ind w:left="994" w:right="-97"/>
        <w:rPr>
          <w:rFonts w:ascii="Arial" w:hAnsi="Arial" w:cs="Arial"/>
        </w:rPr>
      </w:pPr>
      <w:r w:rsidRPr="00265081">
        <w:rPr>
          <w:rFonts w:ascii="Arial" w:hAnsi="Arial" w:cs="Arial"/>
        </w:rPr>
        <w:t xml:space="preserve">Changes to the </w:t>
      </w:r>
      <w:hyperlink r:id="rId9" w:history="1">
        <w:r w:rsidRPr="00265081">
          <w:rPr>
            <w:rStyle w:val="Hyperlink"/>
            <w:rFonts w:ascii="Arial" w:hAnsi="Arial" w:cs="Arial"/>
          </w:rPr>
          <w:t>transferee permit</w:t>
        </w:r>
      </w:hyperlink>
      <w:r w:rsidRPr="00265081">
        <w:rPr>
          <w:rFonts w:ascii="Arial" w:hAnsi="Arial" w:cs="Arial"/>
        </w:rPr>
        <w:t xml:space="preserve"> and </w:t>
      </w:r>
      <w:hyperlink r:id="rId10" w:history="1">
        <w:r w:rsidRPr="00265081">
          <w:rPr>
            <w:rStyle w:val="Hyperlink"/>
            <w:rFonts w:ascii="Arial" w:hAnsi="Arial" w:cs="Arial"/>
          </w:rPr>
          <w:t>report of transfer</w:t>
        </w:r>
      </w:hyperlink>
      <w:r w:rsidRPr="00265081">
        <w:rPr>
          <w:rFonts w:ascii="Arial" w:hAnsi="Arial" w:cs="Arial"/>
        </w:rPr>
        <w:t xml:space="preserve"> statutes</w:t>
      </w:r>
      <w:r>
        <w:rPr>
          <w:rFonts w:ascii="Arial" w:hAnsi="Arial" w:cs="Arial"/>
        </w:rPr>
        <w:t xml:space="preserve"> require a</w:t>
      </w:r>
      <w:r w:rsidRPr="00265081">
        <w:rPr>
          <w:rFonts w:ascii="Arial" w:hAnsi="Arial" w:cs="Arial"/>
        </w:rPr>
        <w:t xml:space="preserve"> chief of police or sheriff </w:t>
      </w:r>
      <w:r>
        <w:rPr>
          <w:rFonts w:ascii="Arial" w:hAnsi="Arial" w:cs="Arial"/>
        </w:rPr>
        <w:t>to</w:t>
      </w:r>
      <w:r w:rsidRPr="00265081">
        <w:rPr>
          <w:rFonts w:ascii="Arial" w:hAnsi="Arial" w:cs="Arial"/>
        </w:rPr>
        <w:t xml:space="preserve"> deny a transferee permit application or a report of transfer if the firearm recipient is (1) listed in the criminal gang investigative data system under Minn. Stat. § 299C.091 or (2) determined to be a danger to </w:t>
      </w:r>
      <w:proofErr w:type="spellStart"/>
      <w:r w:rsidRPr="00265081">
        <w:rPr>
          <w:rFonts w:ascii="Arial" w:hAnsi="Arial" w:cs="Arial"/>
        </w:rPr>
        <w:t>self</w:t>
      </w:r>
      <w:proofErr w:type="spellEnd"/>
      <w:r w:rsidRPr="00265081">
        <w:rPr>
          <w:rFonts w:ascii="Arial" w:hAnsi="Arial" w:cs="Arial"/>
        </w:rPr>
        <w:t xml:space="preserve"> or the public when in possession of firearms. An applicant denied as a danger to </w:t>
      </w:r>
      <w:proofErr w:type="spellStart"/>
      <w:r w:rsidRPr="00265081">
        <w:rPr>
          <w:rFonts w:ascii="Arial" w:hAnsi="Arial" w:cs="Arial"/>
        </w:rPr>
        <w:t>self</w:t>
      </w:r>
      <w:proofErr w:type="spellEnd"/>
      <w:r w:rsidRPr="00265081">
        <w:rPr>
          <w:rFonts w:ascii="Arial" w:hAnsi="Arial" w:cs="Arial"/>
        </w:rPr>
        <w:t xml:space="preserve"> or the public is prohibited from reapplying for six months. Additionally, the timeframe for a chief of police or sheriff to grant or deny a transferee permit or report of transfer </w:t>
      </w:r>
      <w:r w:rsidR="00B94780">
        <w:rPr>
          <w:rFonts w:ascii="Arial" w:hAnsi="Arial" w:cs="Arial"/>
        </w:rPr>
        <w:t>will be</w:t>
      </w:r>
      <w:r w:rsidRPr="00265081">
        <w:rPr>
          <w:rFonts w:ascii="Arial" w:hAnsi="Arial" w:cs="Arial"/>
        </w:rPr>
        <w:t xml:space="preserve"> extended to 30 days.  </w:t>
      </w:r>
    </w:p>
    <w:p w14:paraId="4A9669B4" w14:textId="77777777" w:rsidR="00265081" w:rsidRPr="00265081" w:rsidRDefault="00265081" w:rsidP="00933F91">
      <w:pPr>
        <w:spacing w:after="180" w:line="240" w:lineRule="auto"/>
        <w:ind w:left="994" w:right="-97"/>
        <w:rPr>
          <w:rFonts w:ascii="Arial" w:hAnsi="Arial" w:cs="Arial"/>
        </w:rPr>
      </w:pPr>
      <w:r w:rsidRPr="00265081">
        <w:rPr>
          <w:rFonts w:ascii="Arial" w:hAnsi="Arial" w:cs="Arial"/>
        </w:rPr>
        <w:t xml:space="preserve">The amended </w:t>
      </w:r>
      <w:r w:rsidR="00B94780" w:rsidRPr="00265081">
        <w:rPr>
          <w:rFonts w:ascii="Arial" w:hAnsi="Arial" w:cs="Arial"/>
        </w:rPr>
        <w:t xml:space="preserve">permit to purchase/transfer </w:t>
      </w:r>
      <w:r w:rsidRPr="00265081">
        <w:rPr>
          <w:rFonts w:ascii="Arial" w:hAnsi="Arial" w:cs="Arial"/>
        </w:rPr>
        <w:t>form will be available to the public when these changes go into effect on Aug. 1, 2023.</w:t>
      </w:r>
    </w:p>
    <w:p w14:paraId="0761EEDE" w14:textId="77777777" w:rsidR="00B94780" w:rsidRDefault="00B94780" w:rsidP="00933F91">
      <w:pPr>
        <w:spacing w:line="240" w:lineRule="auto"/>
        <w:ind w:left="990" w:right="-97"/>
        <w:rPr>
          <w:rFonts w:ascii="Arial Narrow" w:hAnsi="Arial Narrow" w:cs="Arial"/>
          <w:b/>
          <w:color w:val="002060"/>
          <w:sz w:val="36"/>
          <w:szCs w:val="36"/>
        </w:rPr>
      </w:pPr>
      <w:r>
        <w:rPr>
          <w:rFonts w:ascii="Arial Narrow" w:hAnsi="Arial Narrow" w:cs="Arial"/>
          <w:b/>
          <w:color w:val="002060"/>
          <w:sz w:val="36"/>
          <w:szCs w:val="36"/>
        </w:rPr>
        <w:t>Private party firearm transfers</w:t>
      </w:r>
    </w:p>
    <w:p w14:paraId="53157145" w14:textId="77777777" w:rsidR="00B94780" w:rsidRPr="00B94780" w:rsidRDefault="00B94780" w:rsidP="00933F91">
      <w:pPr>
        <w:spacing w:line="240" w:lineRule="auto"/>
        <w:ind w:left="994" w:right="-97"/>
        <w:rPr>
          <w:rFonts w:ascii="Arial" w:hAnsi="Arial" w:cs="Arial"/>
        </w:rPr>
      </w:pPr>
      <w:r w:rsidRPr="00B94780">
        <w:rPr>
          <w:rFonts w:ascii="Arial" w:hAnsi="Arial" w:cs="Arial"/>
        </w:rPr>
        <w:t xml:space="preserve">Certain </w:t>
      </w:r>
      <w:hyperlink r:id="rId11" w:anchor="laws.13.3.0" w:history="1">
        <w:r w:rsidRPr="00B94780">
          <w:rPr>
            <w:rStyle w:val="Hyperlink"/>
            <w:rFonts w:ascii="Arial" w:hAnsi="Arial" w:cs="Arial"/>
          </w:rPr>
          <w:t>private party transfers</w:t>
        </w:r>
      </w:hyperlink>
      <w:r w:rsidRPr="00B94780">
        <w:rPr>
          <w:rFonts w:ascii="Arial" w:hAnsi="Arial" w:cs="Arial"/>
        </w:rPr>
        <w:t xml:space="preserve"> of pistol or semi-automatic military-style assault weapons will now require background checks. A background check is conducted in one of two ways:  </w:t>
      </w:r>
    </w:p>
    <w:p w14:paraId="78A74DDD" w14:textId="77777777" w:rsidR="00B94780" w:rsidRPr="00B94780" w:rsidRDefault="00B94780" w:rsidP="00933F91">
      <w:pPr>
        <w:pStyle w:val="ListParagraph"/>
        <w:numPr>
          <w:ilvl w:val="1"/>
          <w:numId w:val="25"/>
        </w:numPr>
        <w:spacing w:after="200" w:line="240" w:lineRule="auto"/>
        <w:ind w:left="1710" w:right="-97" w:hanging="450"/>
        <w:rPr>
          <w:rFonts w:cs="Arial"/>
        </w:rPr>
      </w:pPr>
      <w:r>
        <w:rPr>
          <w:rFonts w:cs="Arial"/>
        </w:rPr>
        <w:t>T</w:t>
      </w:r>
      <w:r w:rsidRPr="00B94780">
        <w:rPr>
          <w:rFonts w:cs="Arial"/>
        </w:rPr>
        <w:t>he transferee undergoes a background check when obtaining a transferee permit.</w:t>
      </w:r>
    </w:p>
    <w:p w14:paraId="45630368" w14:textId="77777777" w:rsidR="00B94780" w:rsidRPr="00B94780" w:rsidRDefault="00B94780" w:rsidP="00933F91">
      <w:pPr>
        <w:pStyle w:val="ListParagraph"/>
        <w:numPr>
          <w:ilvl w:val="1"/>
          <w:numId w:val="25"/>
        </w:numPr>
        <w:spacing w:after="180" w:line="240" w:lineRule="auto"/>
        <w:ind w:left="1713" w:right="-97" w:hanging="446"/>
        <w:rPr>
          <w:rFonts w:cs="Arial"/>
        </w:rPr>
      </w:pPr>
      <w:r>
        <w:rPr>
          <w:rFonts w:cs="Arial"/>
        </w:rPr>
        <w:t>T</w:t>
      </w:r>
      <w:r w:rsidRPr="00B94780">
        <w:rPr>
          <w:rFonts w:cs="Arial"/>
        </w:rPr>
        <w:t>he parties to the transfer jointly appear before a federally licensed firearms dealer who conducts a background check on the transferee.</w:t>
      </w:r>
    </w:p>
    <w:p w14:paraId="02868AD2" w14:textId="77777777" w:rsidR="00B94780" w:rsidRDefault="00B94780" w:rsidP="00933F91">
      <w:pPr>
        <w:spacing w:line="240" w:lineRule="auto"/>
        <w:ind w:left="994" w:right="-97"/>
        <w:rPr>
          <w:rFonts w:ascii="Arial" w:hAnsi="Arial" w:cs="Arial"/>
        </w:rPr>
      </w:pPr>
      <w:r w:rsidRPr="00B94780">
        <w:rPr>
          <w:rFonts w:ascii="Arial" w:hAnsi="Arial" w:cs="Arial"/>
        </w:rPr>
        <w:t>Private parties who transfer a pistol or semi-automatic military-style assault without the assistance of federally licensed firearms dealer must maintain a record of transfer for ten years. The record must include</w:t>
      </w:r>
      <w:r>
        <w:rPr>
          <w:rFonts w:ascii="Arial" w:hAnsi="Arial" w:cs="Arial"/>
        </w:rPr>
        <w:t>:</w:t>
      </w:r>
    </w:p>
    <w:p w14:paraId="7E884C30" w14:textId="77777777" w:rsidR="00B94780" w:rsidRPr="00B94780" w:rsidRDefault="00B94780" w:rsidP="00933F91">
      <w:pPr>
        <w:pStyle w:val="ListParagraph"/>
        <w:numPr>
          <w:ilvl w:val="0"/>
          <w:numId w:val="26"/>
        </w:numPr>
        <w:spacing w:after="200" w:line="240" w:lineRule="auto"/>
        <w:ind w:right="-97"/>
        <w:rPr>
          <w:rFonts w:cs="Arial"/>
        </w:rPr>
      </w:pPr>
      <w:r w:rsidRPr="00B94780">
        <w:rPr>
          <w:rFonts w:cs="Arial"/>
        </w:rPr>
        <w:t>A copy of both parties’ identification</w:t>
      </w:r>
    </w:p>
    <w:p w14:paraId="4DDFCC98" w14:textId="77777777" w:rsidR="00B94780" w:rsidRPr="00B94780" w:rsidRDefault="00B94780" w:rsidP="00933F91">
      <w:pPr>
        <w:pStyle w:val="ListParagraph"/>
        <w:numPr>
          <w:ilvl w:val="0"/>
          <w:numId w:val="26"/>
        </w:numPr>
        <w:spacing w:after="200" w:line="240" w:lineRule="auto"/>
        <w:ind w:right="-97"/>
        <w:rPr>
          <w:rFonts w:cs="Arial"/>
        </w:rPr>
      </w:pPr>
      <w:r w:rsidRPr="00B94780">
        <w:rPr>
          <w:rFonts w:cs="Arial"/>
        </w:rPr>
        <w:t>A copy of the transferee’s permit</w:t>
      </w:r>
    </w:p>
    <w:p w14:paraId="1DB8B711" w14:textId="77777777" w:rsidR="00B94780" w:rsidRPr="00B94780" w:rsidRDefault="00B94780" w:rsidP="00933F91">
      <w:pPr>
        <w:pStyle w:val="ListParagraph"/>
        <w:numPr>
          <w:ilvl w:val="0"/>
          <w:numId w:val="26"/>
        </w:numPr>
        <w:spacing w:after="200" w:line="240" w:lineRule="auto"/>
        <w:ind w:right="-97"/>
        <w:rPr>
          <w:rFonts w:cs="Arial"/>
        </w:rPr>
      </w:pPr>
      <w:r w:rsidRPr="00B94780">
        <w:rPr>
          <w:rFonts w:cs="Arial"/>
        </w:rPr>
        <w:t>A description of the weapon including the manufacturer-assigned serial number</w:t>
      </w:r>
    </w:p>
    <w:p w14:paraId="5253C477" w14:textId="77777777" w:rsidR="00B94780" w:rsidRPr="00B94780" w:rsidRDefault="00B94780" w:rsidP="00933F91">
      <w:pPr>
        <w:pStyle w:val="ListParagraph"/>
        <w:numPr>
          <w:ilvl w:val="0"/>
          <w:numId w:val="26"/>
        </w:numPr>
        <w:spacing w:after="180" w:line="240" w:lineRule="auto"/>
        <w:ind w:left="1714" w:right="-97"/>
        <w:rPr>
          <w:rFonts w:cs="Arial"/>
        </w:rPr>
      </w:pPr>
      <w:r w:rsidRPr="00B94780">
        <w:rPr>
          <w:rFonts w:cs="Arial"/>
        </w:rPr>
        <w:t>Each page of the record must contain the parties’ signatures and the weapon’s serial number</w:t>
      </w:r>
    </w:p>
    <w:p w14:paraId="72A4F965" w14:textId="77777777" w:rsidR="00B94780" w:rsidRPr="00B94780" w:rsidRDefault="00B94780" w:rsidP="00933F91">
      <w:pPr>
        <w:spacing w:after="180" w:line="240" w:lineRule="auto"/>
        <w:ind w:left="994" w:right="-97"/>
        <w:rPr>
          <w:rFonts w:ascii="Arial" w:hAnsi="Arial" w:cs="Arial"/>
        </w:rPr>
      </w:pPr>
      <w:r>
        <w:rPr>
          <w:rFonts w:ascii="Arial" w:hAnsi="Arial" w:cs="Arial"/>
        </w:rPr>
        <w:t>N</w:t>
      </w:r>
      <w:r w:rsidRPr="00B94780">
        <w:rPr>
          <w:rFonts w:ascii="Arial" w:hAnsi="Arial" w:cs="Arial"/>
        </w:rPr>
        <w:t>umerous exceptions to this statute</w:t>
      </w:r>
      <w:r>
        <w:rPr>
          <w:rFonts w:ascii="Arial" w:hAnsi="Arial" w:cs="Arial"/>
        </w:rPr>
        <w:t xml:space="preserve"> include</w:t>
      </w:r>
      <w:r w:rsidRPr="00B94780">
        <w:rPr>
          <w:rFonts w:ascii="Arial" w:hAnsi="Arial" w:cs="Arial"/>
        </w:rPr>
        <w:t xml:space="preserve"> transfers between immediate family members, which means spouses, domestic partners, parents, children, siblings, grandparents and grandchildren. </w:t>
      </w:r>
    </w:p>
    <w:p w14:paraId="3E0094AC" w14:textId="77777777" w:rsidR="00B94780" w:rsidRDefault="00B94780" w:rsidP="00933F91">
      <w:pPr>
        <w:spacing w:after="200" w:line="240" w:lineRule="auto"/>
        <w:ind w:left="990" w:right="-97"/>
        <w:rPr>
          <w:rFonts w:ascii="Arial" w:hAnsi="Arial" w:cs="Arial"/>
        </w:rPr>
      </w:pPr>
      <w:r w:rsidRPr="00B94780">
        <w:rPr>
          <w:rFonts w:ascii="Arial" w:hAnsi="Arial" w:cs="Arial"/>
        </w:rPr>
        <w:t xml:space="preserve">The BCA created a “Private Party Record of Transfer” form which will be available to the public </w:t>
      </w:r>
      <w:r w:rsidR="00D77EAF">
        <w:rPr>
          <w:rFonts w:ascii="Arial" w:hAnsi="Arial" w:cs="Arial"/>
        </w:rPr>
        <w:t xml:space="preserve">when these changes into effect </w:t>
      </w:r>
      <w:r w:rsidRPr="00B94780">
        <w:rPr>
          <w:rFonts w:ascii="Arial" w:hAnsi="Arial" w:cs="Arial"/>
        </w:rPr>
        <w:t xml:space="preserve">on Aug. 1, 2023.  </w:t>
      </w:r>
    </w:p>
    <w:p w14:paraId="3754636D" w14:textId="77777777" w:rsidR="00B94780" w:rsidRDefault="00B94780" w:rsidP="00933F91">
      <w:pPr>
        <w:ind w:left="990" w:right="-97"/>
        <w:rPr>
          <w:rFonts w:ascii="Arial" w:hAnsi="Arial" w:cs="Arial"/>
        </w:rPr>
      </w:pPr>
    </w:p>
    <w:p w14:paraId="3B771760" w14:textId="77777777" w:rsidR="00B94780" w:rsidRPr="00B94780" w:rsidRDefault="00B94780" w:rsidP="00933F91">
      <w:pPr>
        <w:ind w:left="990" w:right="-97"/>
        <w:rPr>
          <w:rFonts w:ascii="Arial Narrow" w:hAnsi="Arial Narrow" w:cs="Arial"/>
          <w:b/>
          <w:color w:val="002060"/>
          <w:sz w:val="36"/>
          <w:szCs w:val="36"/>
        </w:rPr>
      </w:pPr>
      <w:r w:rsidRPr="00B94780">
        <w:rPr>
          <w:rFonts w:ascii="Arial Narrow" w:hAnsi="Arial Narrow" w:cs="Arial"/>
          <w:b/>
          <w:color w:val="002060"/>
          <w:sz w:val="36"/>
          <w:szCs w:val="36"/>
        </w:rPr>
        <w:lastRenderedPageBreak/>
        <w:t>Extreme Risk Protection Orders</w:t>
      </w:r>
    </w:p>
    <w:p w14:paraId="62C8A25A" w14:textId="77777777" w:rsidR="00D77EAF" w:rsidRDefault="00B94780" w:rsidP="00933F91">
      <w:pPr>
        <w:spacing w:after="180" w:line="240" w:lineRule="auto"/>
        <w:ind w:left="994" w:right="-97"/>
        <w:rPr>
          <w:rFonts w:ascii="Arial" w:hAnsi="Arial" w:cs="Arial"/>
        </w:rPr>
      </w:pPr>
      <w:r w:rsidRPr="00B94780">
        <w:rPr>
          <w:rFonts w:ascii="Arial" w:hAnsi="Arial" w:cs="Arial"/>
        </w:rPr>
        <w:t xml:space="preserve">The Minnesota legislature passed what is commonly known as a “red flag law.” This law allows the court to issue extreme risk protection orders which prohibit the subject of the order from possessing or purchasing firearms while the order is in effect. </w:t>
      </w:r>
    </w:p>
    <w:p w14:paraId="460946CA" w14:textId="77777777" w:rsidR="00265081" w:rsidRDefault="00B94780" w:rsidP="00933F91">
      <w:pPr>
        <w:spacing w:after="180" w:line="240" w:lineRule="auto"/>
        <w:ind w:left="994" w:right="-97"/>
        <w:rPr>
          <w:rFonts w:ascii="Arial" w:hAnsi="Arial" w:cs="Arial"/>
        </w:rPr>
      </w:pPr>
      <w:r w:rsidRPr="00B94780">
        <w:rPr>
          <w:rFonts w:ascii="Arial" w:hAnsi="Arial" w:cs="Arial"/>
        </w:rPr>
        <w:t>This new restriction will be added to the permit to carry and permit to purchase/transfer forms when the law goes into effect on Jan. 1, 2024.</w:t>
      </w:r>
    </w:p>
    <w:p w14:paraId="6CED8307" w14:textId="77777777" w:rsidR="00B94780" w:rsidRPr="00B94780" w:rsidRDefault="00B94780" w:rsidP="00933F91">
      <w:pPr>
        <w:ind w:left="990" w:right="-97"/>
        <w:rPr>
          <w:rFonts w:ascii="Arial Narrow" w:hAnsi="Arial Narrow" w:cs="Arial"/>
          <w:b/>
          <w:iCs/>
          <w:color w:val="002060"/>
          <w:sz w:val="36"/>
          <w:szCs w:val="36"/>
        </w:rPr>
      </w:pPr>
      <w:r w:rsidRPr="00B94780">
        <w:rPr>
          <w:rFonts w:ascii="Arial Narrow" w:hAnsi="Arial Narrow" w:cs="Arial"/>
          <w:b/>
          <w:iCs/>
          <w:color w:val="002060"/>
          <w:sz w:val="36"/>
          <w:szCs w:val="36"/>
        </w:rPr>
        <w:t>Update on Permit to Carry Minimum Age</w:t>
      </w:r>
    </w:p>
    <w:p w14:paraId="6EC8A6F7" w14:textId="77777777" w:rsidR="00265081" w:rsidRPr="00B94780" w:rsidRDefault="00265081" w:rsidP="00933F91">
      <w:pPr>
        <w:pStyle w:val="xmsonormal"/>
        <w:spacing w:after="200"/>
        <w:ind w:left="994" w:right="-97"/>
        <w:rPr>
          <w:rFonts w:ascii="Arial" w:hAnsi="Arial" w:cs="Arial"/>
          <w:iCs/>
        </w:rPr>
      </w:pPr>
      <w:r w:rsidRPr="00B94780">
        <w:rPr>
          <w:rFonts w:ascii="Arial" w:hAnsi="Arial" w:cs="Arial"/>
          <w:iCs/>
        </w:rPr>
        <w:t xml:space="preserve">On March 31, 2023, a federal district court judge issued an order prohibiting the state from enforcing the minimum age requirement of the Minnesota Citizens’ Personal Protection Act in the matter of </w:t>
      </w:r>
      <w:r w:rsidRPr="00B94780">
        <w:rPr>
          <w:rFonts w:ascii="Arial" w:hAnsi="Arial" w:cs="Arial"/>
          <w:i/>
          <w:iCs/>
        </w:rPr>
        <w:t>Worth v. Harrington</w:t>
      </w:r>
      <w:r w:rsidRPr="00B94780">
        <w:rPr>
          <w:rFonts w:ascii="Arial" w:hAnsi="Arial" w:cs="Arial"/>
          <w:iCs/>
        </w:rPr>
        <w:t>, 21-CV-1348. The order effectively reduced the minimum age for obtaining a carry permit from 21 to 18. The Department of Public Safety (DPS) brought a motion to prevent the order from taking effect pending appeal.</w:t>
      </w:r>
      <w:r w:rsidR="00F75F1A">
        <w:rPr>
          <w:rFonts w:ascii="Arial" w:hAnsi="Arial" w:cs="Arial"/>
          <w:iCs/>
        </w:rPr>
        <w:t xml:space="preserve"> </w:t>
      </w:r>
      <w:r w:rsidRPr="00B94780">
        <w:rPr>
          <w:rFonts w:ascii="Arial" w:hAnsi="Arial" w:cs="Arial"/>
          <w:iCs/>
        </w:rPr>
        <w:t>The motion for a stay was granted, and an appeal is currently pending. As a result, the minimum age to obtain a permit to carry continues to be 21.</w:t>
      </w:r>
    </w:p>
    <w:sectPr w:rsidR="00265081" w:rsidRPr="00B94780" w:rsidSect="00933F91">
      <w:headerReference w:type="default" r:id="rId12"/>
      <w:headerReference w:type="first" r:id="rId13"/>
      <w:pgSz w:w="12240" w:h="15840" w:code="1"/>
      <w:pgMar w:top="1728" w:right="547" w:bottom="1080" w:left="36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00E4" w14:textId="77777777" w:rsidR="000E1FD5" w:rsidRDefault="000E1FD5" w:rsidP="002327FC">
      <w:r>
        <w:separator/>
      </w:r>
    </w:p>
  </w:endnote>
  <w:endnote w:type="continuationSeparator" w:id="0">
    <w:p w14:paraId="6B6076FA" w14:textId="77777777" w:rsidR="000E1FD5" w:rsidRDefault="000E1FD5" w:rsidP="0023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384A" w14:textId="77777777" w:rsidR="000E1FD5" w:rsidRDefault="000E1FD5" w:rsidP="002327FC">
      <w:r>
        <w:separator/>
      </w:r>
    </w:p>
  </w:footnote>
  <w:footnote w:type="continuationSeparator" w:id="0">
    <w:p w14:paraId="68DF35AB" w14:textId="77777777" w:rsidR="000E1FD5" w:rsidRDefault="000E1FD5" w:rsidP="00232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81E6" w14:textId="77777777" w:rsidR="004004FF" w:rsidRDefault="008807B1">
    <w:pPr>
      <w:pStyle w:val="Header"/>
    </w:pPr>
    <w:r>
      <w:rPr>
        <w:noProof/>
      </w:rPr>
      <w:drawing>
        <wp:anchor distT="0" distB="0" distL="114300" distR="114300" simplePos="0" relativeHeight="251657216" behindDoc="1" locked="0" layoutInCell="1" allowOverlap="1" wp14:anchorId="38D07D8D" wp14:editId="316D6EED">
          <wp:simplePos x="0" y="0"/>
          <wp:positionH relativeFrom="column">
            <wp:posOffset>-95250</wp:posOffset>
          </wp:positionH>
          <wp:positionV relativeFrom="paragraph">
            <wp:posOffset>-254000</wp:posOffset>
          </wp:positionV>
          <wp:extent cx="7411812" cy="96646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M Fact Sheet (BACK).eps"/>
                  <pic:cNvPicPr/>
                </pic:nvPicPr>
                <pic:blipFill>
                  <a:blip r:embed="rId1">
                    <a:extLst>
                      <a:ext uri="{28A0092B-C50C-407E-A947-70E740481C1C}">
                        <a14:useLocalDpi xmlns:a14="http://schemas.microsoft.com/office/drawing/2010/main" val="0"/>
                      </a:ext>
                    </a:extLst>
                  </a:blip>
                  <a:stretch>
                    <a:fillRect/>
                  </a:stretch>
                </pic:blipFill>
                <pic:spPr>
                  <a:xfrm>
                    <a:off x="0" y="0"/>
                    <a:ext cx="7411812" cy="96646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A216" w14:textId="77777777" w:rsidR="004004FF" w:rsidRDefault="005D2E5E" w:rsidP="005D2E5E">
    <w:pPr>
      <w:pStyle w:val="Header"/>
      <w:ind w:left="1440"/>
    </w:pPr>
    <w:r>
      <w:rPr>
        <w:noProof/>
      </w:rPr>
      <w:drawing>
        <wp:anchor distT="0" distB="0" distL="114300" distR="114300" simplePos="0" relativeHeight="251659264" behindDoc="1" locked="0" layoutInCell="1" allowOverlap="1" wp14:anchorId="4E4558BB" wp14:editId="5569E795">
          <wp:simplePos x="0" y="0"/>
          <wp:positionH relativeFrom="column">
            <wp:posOffset>-95250</wp:posOffset>
          </wp:positionH>
          <wp:positionV relativeFrom="paragraph">
            <wp:posOffset>-260350</wp:posOffset>
          </wp:positionV>
          <wp:extent cx="7416680" cy="9671048"/>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M Fact Sheet (FRNT).eps"/>
                  <pic:cNvPicPr/>
                </pic:nvPicPr>
                <pic:blipFill>
                  <a:blip r:embed="rId1">
                    <a:extLst>
                      <a:ext uri="{28A0092B-C50C-407E-A947-70E740481C1C}">
                        <a14:useLocalDpi xmlns:a14="http://schemas.microsoft.com/office/drawing/2010/main" val="0"/>
                      </a:ext>
                    </a:extLst>
                  </a:blip>
                  <a:stretch>
                    <a:fillRect/>
                  </a:stretch>
                </pic:blipFill>
                <pic:spPr>
                  <a:xfrm>
                    <a:off x="0" y="0"/>
                    <a:ext cx="7416680" cy="96710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D3C"/>
    <w:multiLevelType w:val="hybridMultilevel"/>
    <w:tmpl w:val="DBD877C0"/>
    <w:lvl w:ilvl="0" w:tplc="52B661E0">
      <w:start w:val="1"/>
      <w:numFmt w:val="bullet"/>
      <w:pStyle w:val="HSEMBullet"/>
      <w:lvlText w:val=""/>
      <w:lvlJc w:val="left"/>
      <w:pPr>
        <w:ind w:left="2340" w:hanging="360"/>
      </w:pPr>
      <w:rPr>
        <w:rFonts w:ascii="Symbol" w:hAnsi="Symbol" w:hint="default"/>
        <w:color w:val="002060"/>
        <w:sz w:val="28"/>
        <w:szCs w:val="28"/>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A1D1E29"/>
    <w:multiLevelType w:val="hybridMultilevel"/>
    <w:tmpl w:val="A2CAA02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F1378D0"/>
    <w:multiLevelType w:val="hybridMultilevel"/>
    <w:tmpl w:val="5A025450"/>
    <w:lvl w:ilvl="0" w:tplc="258241DC">
      <w:start w:val="1"/>
      <w:numFmt w:val="bullet"/>
      <w:lvlText w:val=""/>
      <w:lvlJc w:val="center"/>
      <w:pPr>
        <w:ind w:left="3330" w:hanging="360"/>
      </w:pPr>
      <w:rPr>
        <w:rFonts w:ascii="Wingdings" w:hAnsi="Wingdings" w:hint="default"/>
        <w:b/>
        <w:i w:val="0"/>
        <w:caps w:val="0"/>
        <w:strike w:val="0"/>
        <w:dstrike w:val="0"/>
        <w:vanish w:val="0"/>
        <w:color w:val="000000"/>
        <w:kern w:val="24"/>
        <w:sz w:val="40"/>
        <w14:shadow w14:blurRad="0" w14:dist="0" w14:dir="0" w14:sx="0" w14:sy="0" w14:kx="0" w14:ky="0" w14:algn="none">
          <w14:srgbClr w14:val="000000"/>
        </w14:shadow>
        <w14:textOutline w14:w="0" w14:cap="rnd" w14:cmpd="sng" w14:algn="ctr">
          <w14:noFill/>
          <w14:prstDash w14:val="solid"/>
          <w14:bevel/>
        </w14:textOutline>
      </w:rPr>
    </w:lvl>
    <w:lvl w:ilvl="1" w:tplc="EE84C202">
      <w:start w:val="1"/>
      <w:numFmt w:val="bullet"/>
      <w:lvlText w:val=""/>
      <w:lvlJc w:val="center"/>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F367F"/>
    <w:multiLevelType w:val="hybridMultilevel"/>
    <w:tmpl w:val="D4DCAA30"/>
    <w:lvl w:ilvl="0" w:tplc="A50AEDBE">
      <w:start w:val="1"/>
      <w:numFmt w:val="bullet"/>
      <w:lvlText w:val=""/>
      <w:lvlJc w:val="left"/>
      <w:pPr>
        <w:ind w:left="2070" w:hanging="360"/>
      </w:pPr>
      <w:rPr>
        <w:rFonts w:ascii="Symbol" w:hAnsi="Symbol" w:hint="default"/>
        <w:color w:val="002060"/>
        <w:sz w:val="28"/>
        <w:szCs w:val="28"/>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EC75DA3"/>
    <w:multiLevelType w:val="hybridMultilevel"/>
    <w:tmpl w:val="DD940600"/>
    <w:lvl w:ilvl="0" w:tplc="D64CE3DE">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5" w15:restartNumberingAfterBreak="0">
    <w:nsid w:val="27EF2AAA"/>
    <w:multiLevelType w:val="hybridMultilevel"/>
    <w:tmpl w:val="95B25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7D3754"/>
    <w:multiLevelType w:val="hybridMultilevel"/>
    <w:tmpl w:val="9F7A8B7A"/>
    <w:lvl w:ilvl="0" w:tplc="49F0D774">
      <w:start w:val="1"/>
      <w:numFmt w:val="bullet"/>
      <w:lvlText w:val=""/>
      <w:lvlJc w:val="righ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1B23795"/>
    <w:multiLevelType w:val="hybridMultilevel"/>
    <w:tmpl w:val="1672712C"/>
    <w:lvl w:ilvl="0" w:tplc="D64CE3DE">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7562DFD"/>
    <w:multiLevelType w:val="hybridMultilevel"/>
    <w:tmpl w:val="E4E4C5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E0F93"/>
    <w:multiLevelType w:val="hybridMultilevel"/>
    <w:tmpl w:val="48C64542"/>
    <w:lvl w:ilvl="0" w:tplc="D64CE3DE">
      <w:start w:val="1"/>
      <w:numFmt w:val="bullet"/>
      <w:lvlText w:val=""/>
      <w:lvlJc w:val="left"/>
      <w:pPr>
        <w:ind w:left="3330" w:hanging="360"/>
      </w:pPr>
      <w:rPr>
        <w:rFonts w:ascii="Symbol" w:hAnsi="Symbol" w:hint="default"/>
        <w:color w:val="002060"/>
        <w:sz w:val="28"/>
        <w:szCs w:val="28"/>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0" w15:restartNumberingAfterBreak="0">
    <w:nsid w:val="40A662C9"/>
    <w:multiLevelType w:val="hybridMultilevel"/>
    <w:tmpl w:val="92A44448"/>
    <w:lvl w:ilvl="0" w:tplc="E68C2F0C">
      <w:start w:val="1"/>
      <w:numFmt w:val="bullet"/>
      <w:pStyle w:val="HSEMLineInden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15:restartNumberingAfterBreak="0">
    <w:nsid w:val="45285995"/>
    <w:multiLevelType w:val="hybridMultilevel"/>
    <w:tmpl w:val="E24C13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DD2369"/>
    <w:multiLevelType w:val="hybridMultilevel"/>
    <w:tmpl w:val="7A687A5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6359"/>
    <w:multiLevelType w:val="hybridMultilevel"/>
    <w:tmpl w:val="3F2AB098"/>
    <w:lvl w:ilvl="0" w:tplc="A50AEDBE">
      <w:start w:val="1"/>
      <w:numFmt w:val="bullet"/>
      <w:lvlText w:val=""/>
      <w:lvlJc w:val="left"/>
      <w:pPr>
        <w:ind w:left="2790" w:hanging="360"/>
      </w:pPr>
      <w:rPr>
        <w:rFonts w:ascii="Symbol" w:hAnsi="Symbol" w:hint="default"/>
        <w:color w:val="002060"/>
        <w:sz w:val="28"/>
        <w:szCs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434745"/>
    <w:multiLevelType w:val="hybridMultilevel"/>
    <w:tmpl w:val="E77ADBAC"/>
    <w:lvl w:ilvl="0" w:tplc="D64CE3DE">
      <w:start w:val="1"/>
      <w:numFmt w:val="bullet"/>
      <w:lvlText w:val=""/>
      <w:lvlJc w:val="left"/>
      <w:pPr>
        <w:ind w:left="2340" w:hanging="360"/>
      </w:pPr>
      <w:rPr>
        <w:rFonts w:ascii="Symbol" w:hAnsi="Symbol" w:hint="default"/>
        <w:color w:val="002060"/>
        <w:sz w:val="28"/>
        <w:szCs w:val="28"/>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53BF0038"/>
    <w:multiLevelType w:val="hybridMultilevel"/>
    <w:tmpl w:val="329838EA"/>
    <w:lvl w:ilvl="0" w:tplc="A50AEDBE">
      <w:start w:val="1"/>
      <w:numFmt w:val="bullet"/>
      <w:lvlText w:val=""/>
      <w:lvlJc w:val="left"/>
      <w:pPr>
        <w:ind w:left="2790" w:hanging="360"/>
      </w:pPr>
      <w:rPr>
        <w:rFonts w:ascii="Symbol" w:hAnsi="Symbol" w:hint="default"/>
        <w:color w:val="002060"/>
        <w:sz w:val="28"/>
        <w:szCs w:val="28"/>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B877AB"/>
    <w:multiLevelType w:val="hybridMultilevel"/>
    <w:tmpl w:val="7D64CD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5CDD5177"/>
    <w:multiLevelType w:val="hybridMultilevel"/>
    <w:tmpl w:val="9650E222"/>
    <w:lvl w:ilvl="0" w:tplc="04090005">
      <w:start w:val="1"/>
      <w:numFmt w:val="bullet"/>
      <w:lvlText w:val=""/>
      <w:lvlJc w:val="left"/>
      <w:pPr>
        <w:ind w:left="2025" w:hanging="360"/>
      </w:pPr>
      <w:rPr>
        <w:rFonts w:ascii="Wingdings" w:hAnsi="Wingdings" w:hint="default"/>
        <w:b/>
        <w:i w:val="0"/>
        <w:caps w:val="0"/>
        <w:strike w:val="0"/>
        <w:dstrike w:val="0"/>
        <w:vanish w:val="0"/>
        <w:color w:val="000000"/>
        <w:kern w:val="24"/>
        <w:sz w:val="4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8" w15:restartNumberingAfterBreak="0">
    <w:nsid w:val="62C86D78"/>
    <w:multiLevelType w:val="hybridMultilevel"/>
    <w:tmpl w:val="C00290BC"/>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6C4316D5"/>
    <w:multiLevelType w:val="hybridMultilevel"/>
    <w:tmpl w:val="EC24DD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EE3399B"/>
    <w:multiLevelType w:val="hybridMultilevel"/>
    <w:tmpl w:val="597A14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13F513D"/>
    <w:multiLevelType w:val="hybridMultilevel"/>
    <w:tmpl w:val="BBC87C54"/>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2" w15:restartNumberingAfterBreak="0">
    <w:nsid w:val="73FE24F5"/>
    <w:multiLevelType w:val="hybridMultilevel"/>
    <w:tmpl w:val="0A8E6170"/>
    <w:lvl w:ilvl="0" w:tplc="43F8FB72">
      <w:start w:val="1"/>
      <w:numFmt w:val="bullet"/>
      <w:lvlText w:val=""/>
      <w:lvlJc w:val="center"/>
      <w:pPr>
        <w:ind w:left="324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11CDB"/>
    <w:multiLevelType w:val="hybridMultilevel"/>
    <w:tmpl w:val="D84C89A0"/>
    <w:lvl w:ilvl="0" w:tplc="4386FBDE">
      <w:start w:val="1"/>
      <w:numFmt w:val="bullet"/>
      <w:lvlText w:val=""/>
      <w:lvlJc w:val="left"/>
      <w:pPr>
        <w:ind w:left="1890" w:hanging="360"/>
      </w:pPr>
      <w:rPr>
        <w:rFonts w:ascii="Symbol" w:hAnsi="Symbol" w:hint="default"/>
        <w:color w:val="00206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77D03827"/>
    <w:multiLevelType w:val="hybridMultilevel"/>
    <w:tmpl w:val="BF28EFAA"/>
    <w:lvl w:ilvl="0" w:tplc="04090001">
      <w:start w:val="1"/>
      <w:numFmt w:val="bullet"/>
      <w:lvlText w:val=""/>
      <w:lvlJc w:val="left"/>
      <w:pPr>
        <w:ind w:left="2025" w:hanging="360"/>
      </w:pPr>
      <w:rPr>
        <w:rFonts w:ascii="Symbol" w:hAnsi="Symbol" w:hint="default"/>
        <w:b/>
        <w:i w:val="0"/>
        <w:caps w:val="0"/>
        <w:strike w:val="0"/>
        <w:dstrike w:val="0"/>
        <w:vanish w:val="0"/>
        <w:color w:val="000000"/>
        <w:kern w:val="24"/>
        <w:sz w:val="4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5" w15:restartNumberingAfterBreak="0">
    <w:nsid w:val="7E9208CC"/>
    <w:multiLevelType w:val="hybridMultilevel"/>
    <w:tmpl w:val="356E060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27331178">
    <w:abstractNumId w:val="21"/>
  </w:num>
  <w:num w:numId="2" w16cid:durableId="751900694">
    <w:abstractNumId w:val="1"/>
  </w:num>
  <w:num w:numId="3" w16cid:durableId="1490707033">
    <w:abstractNumId w:val="19"/>
  </w:num>
  <w:num w:numId="4" w16cid:durableId="562570409">
    <w:abstractNumId w:val="17"/>
  </w:num>
  <w:num w:numId="5" w16cid:durableId="2104455098">
    <w:abstractNumId w:val="24"/>
  </w:num>
  <w:num w:numId="6" w16cid:durableId="172694257">
    <w:abstractNumId w:val="2"/>
  </w:num>
  <w:num w:numId="7" w16cid:durableId="465322627">
    <w:abstractNumId w:val="22"/>
  </w:num>
  <w:num w:numId="8" w16cid:durableId="2101486765">
    <w:abstractNumId w:val="3"/>
  </w:num>
  <w:num w:numId="9" w16cid:durableId="1273586656">
    <w:abstractNumId w:val="13"/>
  </w:num>
  <w:num w:numId="10" w16cid:durableId="1708905">
    <w:abstractNumId w:val="15"/>
  </w:num>
  <w:num w:numId="11" w16cid:durableId="447285332">
    <w:abstractNumId w:val="16"/>
  </w:num>
  <w:num w:numId="12" w16cid:durableId="428434619">
    <w:abstractNumId w:val="23"/>
  </w:num>
  <w:num w:numId="13" w16cid:durableId="1396703932">
    <w:abstractNumId w:val="5"/>
  </w:num>
  <w:num w:numId="14" w16cid:durableId="1740208133">
    <w:abstractNumId w:val="11"/>
  </w:num>
  <w:num w:numId="15" w16cid:durableId="1771121929">
    <w:abstractNumId w:val="25"/>
  </w:num>
  <w:num w:numId="16" w16cid:durableId="855996857">
    <w:abstractNumId w:val="0"/>
  </w:num>
  <w:num w:numId="17" w16cid:durableId="1962103845">
    <w:abstractNumId w:val="10"/>
  </w:num>
  <w:num w:numId="18" w16cid:durableId="62611070">
    <w:abstractNumId w:val="18"/>
  </w:num>
  <w:num w:numId="19" w16cid:durableId="579952742">
    <w:abstractNumId w:val="9"/>
  </w:num>
  <w:num w:numId="20" w16cid:durableId="302203040">
    <w:abstractNumId w:val="14"/>
  </w:num>
  <w:num w:numId="21" w16cid:durableId="527185661">
    <w:abstractNumId w:val="4"/>
  </w:num>
  <w:num w:numId="22" w16cid:durableId="1873690873">
    <w:abstractNumId w:val="20"/>
  </w:num>
  <w:num w:numId="23" w16cid:durableId="715351323">
    <w:abstractNumId w:val="7"/>
  </w:num>
  <w:num w:numId="24" w16cid:durableId="1169059923">
    <w:abstractNumId w:val="8"/>
  </w:num>
  <w:num w:numId="25" w16cid:durableId="1076316679">
    <w:abstractNumId w:val="12"/>
  </w:num>
  <w:num w:numId="26" w16cid:durableId="7895127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24"/>
    <w:rsid w:val="0000694B"/>
    <w:rsid w:val="0001348E"/>
    <w:rsid w:val="00023934"/>
    <w:rsid w:val="00047573"/>
    <w:rsid w:val="00055F82"/>
    <w:rsid w:val="00062426"/>
    <w:rsid w:val="000A3A8D"/>
    <w:rsid w:val="000E1FD5"/>
    <w:rsid w:val="00122588"/>
    <w:rsid w:val="00146013"/>
    <w:rsid w:val="00153D20"/>
    <w:rsid w:val="00183C26"/>
    <w:rsid w:val="001948CC"/>
    <w:rsid w:val="001A5DD5"/>
    <w:rsid w:val="001A7FAA"/>
    <w:rsid w:val="001D5208"/>
    <w:rsid w:val="001E16BC"/>
    <w:rsid w:val="001E1DC2"/>
    <w:rsid w:val="001F3B82"/>
    <w:rsid w:val="002327FC"/>
    <w:rsid w:val="00234053"/>
    <w:rsid w:val="002364FE"/>
    <w:rsid w:val="0024611B"/>
    <w:rsid w:val="0025005E"/>
    <w:rsid w:val="00250DB9"/>
    <w:rsid w:val="00260AE7"/>
    <w:rsid w:val="00265081"/>
    <w:rsid w:val="002D121F"/>
    <w:rsid w:val="0030249A"/>
    <w:rsid w:val="00303CE1"/>
    <w:rsid w:val="00321CA6"/>
    <w:rsid w:val="00340A3C"/>
    <w:rsid w:val="0037600D"/>
    <w:rsid w:val="003932F8"/>
    <w:rsid w:val="003A62A0"/>
    <w:rsid w:val="003B578B"/>
    <w:rsid w:val="003C7ADF"/>
    <w:rsid w:val="003F417F"/>
    <w:rsid w:val="003F425F"/>
    <w:rsid w:val="003F554B"/>
    <w:rsid w:val="003F7AAE"/>
    <w:rsid w:val="004004FF"/>
    <w:rsid w:val="0040091E"/>
    <w:rsid w:val="00406541"/>
    <w:rsid w:val="00410E2D"/>
    <w:rsid w:val="004247EB"/>
    <w:rsid w:val="00465BAF"/>
    <w:rsid w:val="00474C71"/>
    <w:rsid w:val="004C1AAC"/>
    <w:rsid w:val="004D67E7"/>
    <w:rsid w:val="004E15BF"/>
    <w:rsid w:val="00500146"/>
    <w:rsid w:val="005014A2"/>
    <w:rsid w:val="00520D29"/>
    <w:rsid w:val="00531367"/>
    <w:rsid w:val="00546190"/>
    <w:rsid w:val="00560C24"/>
    <w:rsid w:val="005909B4"/>
    <w:rsid w:val="005A0B91"/>
    <w:rsid w:val="005C1F58"/>
    <w:rsid w:val="005D259E"/>
    <w:rsid w:val="005D2E5E"/>
    <w:rsid w:val="005D7529"/>
    <w:rsid w:val="005F003E"/>
    <w:rsid w:val="005F7BCD"/>
    <w:rsid w:val="00610DEA"/>
    <w:rsid w:val="00612FD0"/>
    <w:rsid w:val="00634AA3"/>
    <w:rsid w:val="006429AD"/>
    <w:rsid w:val="00650943"/>
    <w:rsid w:val="00662FB1"/>
    <w:rsid w:val="006A622D"/>
    <w:rsid w:val="006A6D9C"/>
    <w:rsid w:val="006C37DF"/>
    <w:rsid w:val="006C6152"/>
    <w:rsid w:val="007440BB"/>
    <w:rsid w:val="00750D8B"/>
    <w:rsid w:val="00756192"/>
    <w:rsid w:val="00757E93"/>
    <w:rsid w:val="007658AC"/>
    <w:rsid w:val="00772AD6"/>
    <w:rsid w:val="007740A5"/>
    <w:rsid w:val="00793538"/>
    <w:rsid w:val="007A1D78"/>
    <w:rsid w:val="007A21D1"/>
    <w:rsid w:val="007B7F96"/>
    <w:rsid w:val="007E1DD4"/>
    <w:rsid w:val="00810A9D"/>
    <w:rsid w:val="008131C6"/>
    <w:rsid w:val="008178DB"/>
    <w:rsid w:val="00850868"/>
    <w:rsid w:val="00850E23"/>
    <w:rsid w:val="00866119"/>
    <w:rsid w:val="008807B1"/>
    <w:rsid w:val="00890B91"/>
    <w:rsid w:val="008C06BB"/>
    <w:rsid w:val="008C1CF2"/>
    <w:rsid w:val="008D608A"/>
    <w:rsid w:val="0090698E"/>
    <w:rsid w:val="009125E7"/>
    <w:rsid w:val="0091738F"/>
    <w:rsid w:val="00924470"/>
    <w:rsid w:val="00933F91"/>
    <w:rsid w:val="00940169"/>
    <w:rsid w:val="00943418"/>
    <w:rsid w:val="00952D36"/>
    <w:rsid w:val="00970001"/>
    <w:rsid w:val="00973FB7"/>
    <w:rsid w:val="0098291D"/>
    <w:rsid w:val="00987C33"/>
    <w:rsid w:val="009A0BEB"/>
    <w:rsid w:val="009E0F0B"/>
    <w:rsid w:val="00A17319"/>
    <w:rsid w:val="00A422E0"/>
    <w:rsid w:val="00A500AC"/>
    <w:rsid w:val="00A52CD0"/>
    <w:rsid w:val="00A612EF"/>
    <w:rsid w:val="00A8518F"/>
    <w:rsid w:val="00AA7A5B"/>
    <w:rsid w:val="00AE42D7"/>
    <w:rsid w:val="00B33306"/>
    <w:rsid w:val="00B33BD5"/>
    <w:rsid w:val="00B47792"/>
    <w:rsid w:val="00B94780"/>
    <w:rsid w:val="00BA20CC"/>
    <w:rsid w:val="00BE5D80"/>
    <w:rsid w:val="00C40A80"/>
    <w:rsid w:val="00C4588B"/>
    <w:rsid w:val="00C51ED3"/>
    <w:rsid w:val="00C76219"/>
    <w:rsid w:val="00C84941"/>
    <w:rsid w:val="00CB31DE"/>
    <w:rsid w:val="00CB5AC0"/>
    <w:rsid w:val="00CB63EB"/>
    <w:rsid w:val="00CC2DB0"/>
    <w:rsid w:val="00CE4B67"/>
    <w:rsid w:val="00CF258D"/>
    <w:rsid w:val="00D04FA0"/>
    <w:rsid w:val="00D06888"/>
    <w:rsid w:val="00D22DF0"/>
    <w:rsid w:val="00D479D4"/>
    <w:rsid w:val="00D54577"/>
    <w:rsid w:val="00D66B78"/>
    <w:rsid w:val="00D67E8F"/>
    <w:rsid w:val="00D77EAF"/>
    <w:rsid w:val="00D8214C"/>
    <w:rsid w:val="00D92897"/>
    <w:rsid w:val="00D933D1"/>
    <w:rsid w:val="00DB58B8"/>
    <w:rsid w:val="00DB6B70"/>
    <w:rsid w:val="00DD14CE"/>
    <w:rsid w:val="00DF7912"/>
    <w:rsid w:val="00E41033"/>
    <w:rsid w:val="00E44EDA"/>
    <w:rsid w:val="00E8221A"/>
    <w:rsid w:val="00E847D9"/>
    <w:rsid w:val="00EE403E"/>
    <w:rsid w:val="00F02F88"/>
    <w:rsid w:val="00F41B6C"/>
    <w:rsid w:val="00F54255"/>
    <w:rsid w:val="00F75F1A"/>
    <w:rsid w:val="00F761FE"/>
    <w:rsid w:val="00F93418"/>
    <w:rsid w:val="00FA0851"/>
    <w:rsid w:val="00FB2586"/>
    <w:rsid w:val="00FD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F6C44"/>
  <w15:docId w15:val="{1A8324D1-D9EA-4047-98DB-9ABC9CC6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2F8"/>
    <w:pPr>
      <w:spacing w:line="260" w:lineRule="atLeast"/>
    </w:pPr>
    <w:rPr>
      <w:rFonts w:asciiTheme="minorHAnsi" w:eastAsiaTheme="minorHAnsi" w:hAnsiTheme="minorHAnsi" w:cstheme="minorBidi"/>
      <w:sz w:val="22"/>
      <w:szCs w:val="22"/>
    </w:rPr>
  </w:style>
  <w:style w:type="paragraph" w:styleId="Heading1">
    <w:name w:val="heading 1"/>
    <w:basedOn w:val="Normal"/>
    <w:next w:val="Normal"/>
    <w:qFormat/>
    <w:rsid w:val="00560C24"/>
    <w:pPr>
      <w:keepNext/>
      <w:outlineLvl w:val="0"/>
    </w:pPr>
    <w:rPr>
      <w:rFonts w:ascii="Arial Black" w:hAnsi="Arial Black"/>
    </w:rPr>
  </w:style>
  <w:style w:type="paragraph" w:styleId="Heading2">
    <w:name w:val="heading 2"/>
    <w:basedOn w:val="Normal"/>
    <w:next w:val="Normal"/>
    <w:qFormat/>
    <w:rsid w:val="00560C24"/>
    <w:pPr>
      <w:keepNext/>
      <w:ind w:left="630" w:right="806"/>
      <w:jc w:val="center"/>
      <w:outlineLvl w:val="1"/>
    </w:pPr>
    <w:rPr>
      <w:b/>
      <w:sz w:val="28"/>
      <w:szCs w:val="28"/>
    </w:rPr>
  </w:style>
  <w:style w:type="paragraph" w:styleId="Heading3">
    <w:name w:val="heading 3"/>
    <w:basedOn w:val="Normal"/>
    <w:next w:val="Normal"/>
    <w:qFormat/>
    <w:rsid w:val="00560C24"/>
    <w:pPr>
      <w:keepNext/>
      <w:ind w:left="630" w:right="806"/>
      <w:jc w:val="center"/>
      <w:outlineLvl w:val="2"/>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0C24"/>
    <w:pPr>
      <w:tabs>
        <w:tab w:val="center" w:pos="4320"/>
        <w:tab w:val="right" w:pos="8640"/>
      </w:tabs>
    </w:pPr>
  </w:style>
  <w:style w:type="paragraph" w:styleId="Footer">
    <w:name w:val="footer"/>
    <w:basedOn w:val="Normal"/>
    <w:rsid w:val="00560C24"/>
    <w:pPr>
      <w:tabs>
        <w:tab w:val="center" w:pos="4320"/>
        <w:tab w:val="right" w:pos="8640"/>
      </w:tabs>
    </w:pPr>
  </w:style>
  <w:style w:type="paragraph" w:styleId="BalloonText">
    <w:name w:val="Balloon Text"/>
    <w:basedOn w:val="Normal"/>
    <w:semiHidden/>
    <w:rsid w:val="00D04FA0"/>
    <w:rPr>
      <w:rFonts w:ascii="Tahoma" w:hAnsi="Tahoma" w:cs="Tahoma"/>
      <w:sz w:val="16"/>
      <w:szCs w:val="16"/>
    </w:rPr>
  </w:style>
  <w:style w:type="paragraph" w:styleId="BodyTextIndent">
    <w:name w:val="Body Text Indent"/>
    <w:basedOn w:val="Normal"/>
    <w:rsid w:val="00D06888"/>
    <w:pPr>
      <w:tabs>
        <w:tab w:val="left" w:pos="1710"/>
      </w:tabs>
      <w:ind w:left="1710"/>
    </w:pPr>
  </w:style>
  <w:style w:type="paragraph" w:customStyle="1" w:styleId="B0bodytext">
    <w:name w:val="B0 body text"/>
    <w:basedOn w:val="Normal"/>
    <w:rsid w:val="00987C33"/>
    <w:pPr>
      <w:spacing w:after="140" w:line="290" w:lineRule="exact"/>
    </w:pPr>
    <w:rPr>
      <w:rFonts w:ascii="Bembo" w:hAnsi="Bembo"/>
      <w:spacing w:val="-4"/>
      <w:kern w:val="20"/>
      <w:sz w:val="25"/>
    </w:rPr>
  </w:style>
  <w:style w:type="paragraph" w:customStyle="1" w:styleId="T2titlesecondlevel">
    <w:name w:val="T2 title second level"/>
    <w:basedOn w:val="Normal"/>
    <w:rsid w:val="00987C33"/>
    <w:pPr>
      <w:keepNext/>
      <w:spacing w:before="280" w:after="140" w:line="290" w:lineRule="exact"/>
      <w:outlineLvl w:val="0"/>
    </w:pPr>
    <w:rPr>
      <w:rFonts w:ascii="Arial Narrow" w:hAnsi="Arial Narrow"/>
      <w:b/>
      <w:spacing w:val="-2"/>
      <w:kern w:val="20"/>
      <w:sz w:val="25"/>
    </w:rPr>
  </w:style>
  <w:style w:type="character" w:styleId="Hyperlink">
    <w:name w:val="Hyperlink"/>
    <w:rsid w:val="00F761FE"/>
    <w:rPr>
      <w:color w:val="0000FF"/>
      <w:u w:val="single"/>
    </w:rPr>
  </w:style>
  <w:style w:type="paragraph" w:styleId="ListParagraph">
    <w:name w:val="List Paragraph"/>
    <w:aliases w:val="HSEM Copy"/>
    <w:basedOn w:val="Normal"/>
    <w:uiPriority w:val="34"/>
    <w:qFormat/>
    <w:rsid w:val="00C40A80"/>
    <w:pPr>
      <w:ind w:left="720"/>
      <w:contextualSpacing/>
    </w:pPr>
    <w:rPr>
      <w:rFonts w:ascii="Arial" w:hAnsi="Arial"/>
    </w:rPr>
  </w:style>
  <w:style w:type="paragraph" w:styleId="Title">
    <w:name w:val="Title"/>
    <w:aliases w:val="HSEM Title"/>
    <w:basedOn w:val="Normal"/>
    <w:next w:val="Normal"/>
    <w:link w:val="TitleChar"/>
    <w:uiPriority w:val="10"/>
    <w:qFormat/>
    <w:rsid w:val="00C40A80"/>
    <w:pPr>
      <w:pBdr>
        <w:bottom w:val="single" w:sz="8" w:space="4" w:color="4F81BD" w:themeColor="accent1"/>
      </w:pBdr>
      <w:spacing w:after="300"/>
      <w:contextualSpacing/>
    </w:pPr>
    <w:rPr>
      <w:rFonts w:ascii="Arial" w:eastAsiaTheme="majorEastAsia" w:hAnsi="Arial" w:cstheme="majorBidi"/>
      <w:b/>
      <w:color w:val="002060"/>
      <w:spacing w:val="5"/>
      <w:kern w:val="28"/>
      <w:sz w:val="32"/>
      <w:szCs w:val="52"/>
    </w:rPr>
  </w:style>
  <w:style w:type="character" w:customStyle="1" w:styleId="TitleChar">
    <w:name w:val="Title Char"/>
    <w:aliases w:val="HSEM Title Char"/>
    <w:basedOn w:val="DefaultParagraphFont"/>
    <w:link w:val="Title"/>
    <w:uiPriority w:val="10"/>
    <w:rsid w:val="00C40A80"/>
    <w:rPr>
      <w:rFonts w:ascii="Arial" w:eastAsiaTheme="majorEastAsia" w:hAnsi="Arial" w:cstheme="majorBidi"/>
      <w:b/>
      <w:color w:val="002060"/>
      <w:spacing w:val="5"/>
      <w:kern w:val="28"/>
      <w:sz w:val="32"/>
      <w:szCs w:val="52"/>
    </w:rPr>
  </w:style>
  <w:style w:type="paragraph" w:customStyle="1" w:styleId="HSEMBullet">
    <w:name w:val="HSEM Bullet"/>
    <w:basedOn w:val="ListParagraph"/>
    <w:qFormat/>
    <w:rsid w:val="00DF7912"/>
    <w:pPr>
      <w:numPr>
        <w:numId w:val="16"/>
      </w:numPr>
      <w:spacing w:after="120" w:line="240" w:lineRule="auto"/>
      <w:contextualSpacing w:val="0"/>
    </w:pPr>
  </w:style>
  <w:style w:type="paragraph" w:customStyle="1" w:styleId="HSEMLineIndent">
    <w:name w:val="HSEM Line Indent"/>
    <w:basedOn w:val="ListParagraph"/>
    <w:qFormat/>
    <w:rsid w:val="004004FF"/>
    <w:pPr>
      <w:numPr>
        <w:numId w:val="17"/>
      </w:numPr>
      <w:spacing w:after="40" w:line="240" w:lineRule="auto"/>
      <w:ind w:left="2347"/>
      <w:contextualSpacing w:val="0"/>
    </w:pPr>
  </w:style>
  <w:style w:type="paragraph" w:customStyle="1" w:styleId="xmsonormal">
    <w:name w:val="x_msonormal"/>
    <w:basedOn w:val="Normal"/>
    <w:rsid w:val="00265081"/>
    <w:pPr>
      <w:spacing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002">
      <w:bodyDiv w:val="1"/>
      <w:marLeft w:val="0"/>
      <w:marRight w:val="0"/>
      <w:marTop w:val="0"/>
      <w:marBottom w:val="0"/>
      <w:divBdr>
        <w:top w:val="none" w:sz="0" w:space="0" w:color="auto"/>
        <w:left w:val="none" w:sz="0" w:space="0" w:color="auto"/>
        <w:bottom w:val="none" w:sz="0" w:space="0" w:color="auto"/>
        <w:right w:val="none" w:sz="0" w:space="0" w:color="auto"/>
      </w:divBdr>
    </w:div>
    <w:div w:id="743376254">
      <w:bodyDiv w:val="1"/>
      <w:marLeft w:val="0"/>
      <w:marRight w:val="0"/>
      <w:marTop w:val="0"/>
      <w:marBottom w:val="0"/>
      <w:divBdr>
        <w:top w:val="none" w:sz="0" w:space="0" w:color="auto"/>
        <w:left w:val="none" w:sz="0" w:space="0" w:color="auto"/>
        <w:bottom w:val="none" w:sz="0" w:space="0" w:color="auto"/>
        <w:right w:val="none" w:sz="0" w:space="0" w:color="auto"/>
      </w:divBdr>
    </w:div>
    <w:div w:id="752360719">
      <w:bodyDiv w:val="1"/>
      <w:marLeft w:val="0"/>
      <w:marRight w:val="0"/>
      <w:marTop w:val="0"/>
      <w:marBottom w:val="0"/>
      <w:divBdr>
        <w:top w:val="none" w:sz="0" w:space="0" w:color="auto"/>
        <w:left w:val="none" w:sz="0" w:space="0" w:color="auto"/>
        <w:bottom w:val="none" w:sz="0" w:space="0" w:color="auto"/>
        <w:right w:val="none" w:sz="0" w:space="0" w:color="auto"/>
      </w:divBdr>
    </w:div>
    <w:div w:id="11310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s.mn.gov/divisions/bca/bca-divisions/administrative/Pages/firearms.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or.mn.gov/laws/2023/0/52/laws.13.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visor.mn.gov/statutes/cite/624.7132" TargetMode="External"/><Relationship Id="rId4" Type="http://schemas.openxmlformats.org/officeDocument/2006/relationships/settings" Target="settings.xml"/><Relationship Id="rId9" Type="http://schemas.openxmlformats.org/officeDocument/2006/relationships/hyperlink" Target="https://www.revisor.mn.gov/statutes/cite/624.713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quinn\Local%20Settings\Temporary%20Internet%20Files\Content.Outlook\EUS3TVY1\SFM%20e-Fax%20Template%200608%20Dah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6017-E1C2-4E1C-B26E-50C13F11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SFM e-Fax Template 0608 Dahm</Template>
  <TotalTime>2</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Sutton Social Marketing</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dquinn</dc:creator>
  <cp:lastModifiedBy>Scott Peterson</cp:lastModifiedBy>
  <cp:revision>2</cp:revision>
  <cp:lastPrinted>2014-12-04T18:54:00Z</cp:lastPrinted>
  <dcterms:created xsi:type="dcterms:W3CDTF">2023-08-20T00:19:00Z</dcterms:created>
  <dcterms:modified xsi:type="dcterms:W3CDTF">2023-08-20T00:19:00Z</dcterms:modified>
</cp:coreProperties>
</file>